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72" w:rsidRPr="00C00772" w:rsidRDefault="00277F7C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72" w:rsidRPr="00C00772" w:rsidRDefault="00C00772" w:rsidP="00C0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00772" w:rsidRPr="00C00772" w:rsidRDefault="00C00772" w:rsidP="00C0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</w:t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772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Дзержинского, 15/13, г. Нижневартовск, Ханты-Мансийский автономный округ - Югра, 628615</w:t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77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Телефоны: 43-75-29,  тел./факс: (3466) 43-66-20, электронная почта: do@n-vartovsk.ru</w:t>
      </w:r>
    </w:p>
    <w:p w:rsidR="00C00772" w:rsidRPr="00C00772" w:rsidRDefault="00C00772" w:rsidP="00C00772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C00772" w:rsidRPr="00C00772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772" w:rsidRPr="00C00772" w:rsidRDefault="00C00772" w:rsidP="0067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об эффективности деятельности </w:t>
      </w:r>
    </w:p>
    <w:p w:rsidR="00C00772" w:rsidRPr="00C00772" w:rsidRDefault="00C00772" w:rsidP="0067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организаций, подведомственных департаменту образования адми</w:t>
      </w:r>
      <w:r w:rsidR="00E6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нистрации города, по итогам 2020</w:t>
      </w: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0772" w:rsidRPr="00C00772" w:rsidRDefault="00C00772" w:rsidP="006773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772" w:rsidRPr="00C00772" w:rsidRDefault="00E6717F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3674A" w:rsidRPr="00B3674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от 31.10.2017 №1604 «Об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города»,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 xml:space="preserve">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</w:t>
      </w:r>
      <w:r w:rsidR="00B3674A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>организаций, подведомственных департаменту образования администрации города (далее – муниципальные образовательн</w:t>
      </w:r>
      <w:r w:rsidR="00514648">
        <w:rPr>
          <w:rFonts w:ascii="Times New Roman" w:eastAsia="Calibri" w:hAnsi="Times New Roman" w:cs="Times New Roman"/>
          <w:sz w:val="28"/>
          <w:szCs w:val="28"/>
        </w:rPr>
        <w:t>ые организации), в соответствии</w:t>
      </w:r>
      <w:r w:rsidR="00B36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 xml:space="preserve">показателями эффективности деятельности муниципальных </w:t>
      </w:r>
      <w:r w:rsidR="00E23521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организаций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>;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 xml:space="preserve">с показателями эффективности деятельности муниципальных </w:t>
      </w:r>
      <w:r w:rsidR="00E23521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>;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>с показателями эффективности деятельности муниципальн</w:t>
      </w:r>
      <w:r w:rsidR="00E23521">
        <w:rPr>
          <w:rFonts w:ascii="Times New Roman" w:eastAsia="Calibri" w:hAnsi="Times New Roman" w:cs="Times New Roman"/>
          <w:sz w:val="28"/>
          <w:szCs w:val="28"/>
        </w:rPr>
        <w:t xml:space="preserve">ых образовательных организаций </w:t>
      </w:r>
      <w:r w:rsidR="00C00772" w:rsidRPr="00C00772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</w:p>
    <w:p w:rsidR="00C00772" w:rsidRPr="00C00772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>Сбор статистических данных осуществлялся в рамках проведения сбора результатов деятельности муниципальных образоват</w:t>
      </w:r>
      <w:r w:rsidR="00B3674A">
        <w:rPr>
          <w:rFonts w:ascii="Times New Roman" w:eastAsia="Calibri" w:hAnsi="Times New Roman" w:cs="Times New Roman"/>
          <w:sz w:val="28"/>
          <w:szCs w:val="28"/>
        </w:rPr>
        <w:t>ельных организаций по итогам 2020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админист</w:t>
      </w:r>
      <w:r w:rsidR="00B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от 24.12.2020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№90</w:t>
      </w:r>
      <w:r w:rsidR="00B367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674A" w:rsidRPr="00B3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их руководителей, и об организации проведения мониторинга»</w:t>
      </w:r>
      <w:r w:rsidRPr="00C00772">
        <w:rPr>
          <w:rFonts w:ascii="Times New Roman" w:eastAsia="Calibri" w:hAnsi="Times New Roman" w:cs="Times New Roman"/>
          <w:sz w:val="28"/>
          <w:szCs w:val="28"/>
        </w:rPr>
        <w:t>. Этим же приказом определена шкала оценивания каждого показателя.</w:t>
      </w:r>
    </w:p>
    <w:p w:rsidR="00C00772" w:rsidRPr="00C00772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>Определение эффективности деятельности муниципальных образовательных организаций, подведомственных департаменту образования адм</w:t>
      </w:r>
      <w:r w:rsidR="00B3674A">
        <w:rPr>
          <w:rFonts w:ascii="Times New Roman" w:eastAsia="Calibri" w:hAnsi="Times New Roman" w:cs="Times New Roman"/>
          <w:sz w:val="28"/>
          <w:szCs w:val="28"/>
        </w:rPr>
        <w:t>инистрации города, по итогам 2020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 года определялось по следующим направлениям.</w:t>
      </w:r>
    </w:p>
    <w:p w:rsidR="003C1FCA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Соответствие деятельности образовательной организации требованиям законодательства в сфере образования</w:t>
      </w:r>
      <w:r w:rsidR="003C1FCA" w:rsidRPr="003C1FCA">
        <w:rPr>
          <w:rFonts w:ascii="Times New Roman" w:hAnsi="Times New Roman" w:cs="Times New Roman"/>
          <w:sz w:val="28"/>
          <w:szCs w:val="28"/>
        </w:rPr>
        <w:t xml:space="preserve"> (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надзорных органов; обоснованные жалобы граждан по вопросам соблюдения прав участников образовательных отношений; уровень исполнительской 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 руководителя образовательной организации; исполнение муниципального задания за отчетный год;</w:t>
      </w:r>
      <w:r w:rsidR="0011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средней заработной платы педагогических работников образовательной организации; поддержка трудоустройства несовершеннолетних в образовательных организациях; доля закупок, размещенных в единой информационной системе у субъектов малого предпринимательства и социально-ориентированных некоммерческих организаций/общая стоимость закупок у субъектов малого предпринимательства, социально-ориентированных некоммерческих организаций; увеличение доли закупок, размещенных конкурентными способами).</w:t>
      </w:r>
    </w:p>
    <w:p w:rsidR="006B4606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Обеспечение высокого качества</w:t>
      </w:r>
      <w:r w:rsidR="00A00C48" w:rsidRPr="003C1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3C1FCA" w:rsidRPr="003C1F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4606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программ, направленных на работу с одаренными обучающимися</w:t>
      </w:r>
      <w:r w:rsidR="003C1FCA" w:rsidRPr="003C1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B1772" w:rsidRPr="003C1FCA" w:rsidRDefault="004B1772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1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 дополнительного образования на 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азе образовательной организации.</w:t>
      </w:r>
    </w:p>
    <w:p w:rsidR="006B4606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 по сохранению и укреплению здоровья обучающихся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применения здоровьесберегающих и</w:t>
      </w:r>
      <w:r w:rsidR="0011105A">
        <w:rPr>
          <w:rFonts w:ascii="Times New Roman" w:eastAsia="Times New Roman" w:hAnsi="Times New Roman" w:cs="Times New Roman"/>
          <w:sz w:val="28"/>
          <w:szCs w:val="28"/>
        </w:rPr>
        <w:t xml:space="preserve"> здоровьесозидающих технологий;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случаи травматизма обучающихся во время образовательного процесса).</w:t>
      </w:r>
    </w:p>
    <w:p w:rsidR="006B4606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(привлечение в образовательную организацию молодых специалистов в возрасте</w:t>
      </w:r>
      <w:r w:rsidR="0011105A">
        <w:rPr>
          <w:rFonts w:ascii="Times New Roman" w:eastAsia="Times New Roman" w:hAnsi="Times New Roman" w:cs="Times New Roman"/>
          <w:sz w:val="28"/>
          <w:szCs w:val="28"/>
        </w:rPr>
        <w:t xml:space="preserve"> до 30 лет;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отсутствие педагогических работников, не прошедших аттестацию на заявленную категорию).</w:t>
      </w:r>
    </w:p>
    <w:p w:rsidR="001C488D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Эффективное использование ресурсов</w:t>
      </w:r>
      <w:r w:rsidR="001C488D" w:rsidRPr="003C1FCA">
        <w:rPr>
          <w:rFonts w:ascii="Times New Roman" w:eastAsia="Times New Roman" w:hAnsi="Times New Roman" w:cs="Times New Roman"/>
          <w:sz w:val="28"/>
          <w:szCs w:val="28"/>
        </w:rPr>
        <w:t xml:space="preserve"> (результаты приемки образовательной организации к началу нового учебного года; исполнение плана финансово-хозяйственной деятельности; просроченная кредиторская задолженность; создание безбарьерной среды; проведение мероприятий муниципального, окружного, федерального уровней; наличие у образовательной организации статуса инновационной, стажерской площадки, форсайт-центра</w:t>
      </w:r>
      <w:r w:rsidR="0011105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88D" w:rsidRPr="003C1FCA"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средств на цели развития образования образовательной организации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4606" w:rsidRPr="003C1FCA" w:rsidRDefault="006B4606" w:rsidP="003C1FCA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достижения,</w:t>
      </w:r>
      <w:r w:rsidR="00A00C48" w:rsidRPr="003C1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организаторский и</w:t>
      </w:r>
      <w:r w:rsidR="00A00C48" w:rsidRPr="003C1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управленческий уровень</w:t>
      </w:r>
      <w:r w:rsidR="00A00C48" w:rsidRPr="003C1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руководителя образовательной организации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(личное участие руководителя образовательной организации в экспертных комиссиях, жюри, творческих группах и т.д., 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 конференциях).</w:t>
      </w:r>
    </w:p>
    <w:p w:rsidR="006B4606" w:rsidRPr="003C1FCA" w:rsidRDefault="006B4606" w:rsidP="003C1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CA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населения качеством предос</w:t>
      </w:r>
      <w:r w:rsidR="00A00C48" w:rsidRPr="003C1FCA">
        <w:rPr>
          <w:rFonts w:ascii="Times New Roman" w:eastAsia="Times New Roman" w:hAnsi="Times New Roman" w:cs="Times New Roman"/>
          <w:b/>
          <w:sz w:val="28"/>
          <w:szCs w:val="28"/>
        </w:rPr>
        <w:t>тавляемых образовательных услуг</w:t>
      </w:r>
      <w:r w:rsidR="003C1FCA" w:rsidRPr="003C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FCA" w:rsidRPr="003C1FCA">
        <w:rPr>
          <w:rFonts w:ascii="Times New Roman" w:eastAsia="Calibri" w:hAnsi="Times New Roman" w:cs="Times New Roman"/>
          <w:sz w:val="28"/>
          <w:szCs w:val="28"/>
        </w:rPr>
        <w:t>(уровень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деятельности).</w:t>
      </w:r>
    </w:p>
    <w:p w:rsidR="00C00772" w:rsidRDefault="00C00772" w:rsidP="0051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Максимальное</w:t>
      </w:r>
      <w:r w:rsidR="0067737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00772">
        <w:rPr>
          <w:rFonts w:ascii="Times New Roman" w:eastAsia="Calibri" w:hAnsi="Times New Roman" w:cs="Times New Roman"/>
          <w:sz w:val="28"/>
          <w:szCs w:val="28"/>
        </w:rPr>
        <w:t>оличество, которое могла набрать муниципальная образовательная организация по итогам мониторинга и в соответствии с показателями эффективности деятельности</w:t>
      </w:r>
      <w:r w:rsidR="00523EED">
        <w:rPr>
          <w:rFonts w:ascii="Times New Roman" w:eastAsia="Calibri" w:hAnsi="Times New Roman" w:cs="Times New Roman"/>
          <w:sz w:val="28"/>
          <w:szCs w:val="28"/>
        </w:rPr>
        <w:t>, составляет 100 баллов.</w:t>
      </w:r>
    </w:p>
    <w:p w:rsidR="00706A4F" w:rsidRDefault="00706A4F" w:rsidP="0051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B8B" w:rsidRDefault="00C00772" w:rsidP="00C860E8">
      <w:pPr>
        <w:pStyle w:val="af2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0E8">
        <w:rPr>
          <w:rFonts w:ascii="Times New Roman" w:hAnsi="Times New Roman"/>
          <w:b/>
          <w:sz w:val="28"/>
          <w:szCs w:val="28"/>
        </w:rPr>
        <w:t xml:space="preserve">Результаты эффективности деятельности муниципальных </w:t>
      </w:r>
      <w:r w:rsidR="00523EED" w:rsidRPr="00C860E8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C860E8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350E19" w:rsidRPr="00C860E8" w:rsidRDefault="00350E19" w:rsidP="00350E19">
      <w:pPr>
        <w:pStyle w:val="af2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11032F" w:rsidRPr="0011032F" w:rsidRDefault="0011032F" w:rsidP="007E3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2F">
        <w:rPr>
          <w:rFonts w:ascii="Times New Roman" w:eastAsia="Calibri" w:hAnsi="Times New Roman" w:cs="Times New Roman"/>
          <w:sz w:val="28"/>
          <w:szCs w:val="28"/>
        </w:rPr>
        <w:t>В соответствии с показателями направления «Соответствие деятельности образовательной организации требованиям законодательства в сфере образования» 38 (100%) дошкольных образовательных организаций не имеют предписания надзорных органов или предписания надзорных органов своевременно устранены. На 37 (97,3%) детских садов в течение 2020 года не поступило обоснованных жалоб граждан по вопросам соблюдения прав участников образовательных отношений.</w:t>
      </w:r>
    </w:p>
    <w:p w:rsidR="0011032F" w:rsidRPr="0011032F" w:rsidRDefault="0011032F" w:rsidP="00110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2F">
        <w:rPr>
          <w:rFonts w:ascii="Times New Roman" w:eastAsia="Calibri" w:hAnsi="Times New Roman" w:cs="Times New Roman"/>
          <w:sz w:val="28"/>
          <w:szCs w:val="28"/>
        </w:rPr>
        <w:t>Из оценивания эффективности деятельности дошкольной образовательной организации по направлению «Соответствие деятельности образовательной организации требованиям законодательства в сфере образования» во всех дошкольных учреждениях в полном объеме достигнут целевой показатель средней заработной платы педагогических работников образовательной организации.</w:t>
      </w:r>
    </w:p>
    <w:p w:rsidR="0011032F" w:rsidRDefault="0011032F" w:rsidP="00110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2F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все дошкольные организации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0D7E30" w:rsidRPr="000D7E30" w:rsidRDefault="000D7E30" w:rsidP="000D7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16 детских садах (4, 10, 21, 25, 29, 37, 38, 40, 41, 47, 49, 67, 68, 71, 80, 90) открыто не менее </w:t>
      </w:r>
      <w:r w:rsidRPr="000D7E30">
        <w:rPr>
          <w:rFonts w:ascii="Times New Roman" w:eastAsia="Calibri" w:hAnsi="Times New Roman" w:cs="Times New Roman"/>
          <w:sz w:val="28"/>
          <w:szCs w:val="28"/>
        </w:rPr>
        <w:t>5 групп</w:t>
      </w:r>
      <w:r w:rsidRPr="000D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вариативными формами работы в каждом дошкольном учреждении.</w:t>
      </w:r>
    </w:p>
    <w:p w:rsidR="00B3529E" w:rsidRPr="000D7E30" w:rsidRDefault="00B3529E" w:rsidP="00E82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30"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в образовательном процессе и обеспечение широкого использования электронных образовательных ресурсов во всех дошкольных учреждениях не менее 85%.</w:t>
      </w:r>
    </w:p>
    <w:p w:rsidR="004F56C1" w:rsidRDefault="00EF6790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C1">
        <w:rPr>
          <w:rFonts w:ascii="Times New Roman" w:eastAsia="Calibri" w:hAnsi="Times New Roman" w:cs="Times New Roman"/>
          <w:sz w:val="28"/>
          <w:szCs w:val="28"/>
        </w:rPr>
        <w:t>Во всех (100%) дошкольных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организации.</w:t>
      </w:r>
      <w:r w:rsidRPr="004F56C1">
        <w:rPr>
          <w:rFonts w:ascii="Calibri" w:eastAsia="Calibri" w:hAnsi="Calibri" w:cs="Times New Roman"/>
        </w:rPr>
        <w:t xml:space="preserve"> </w:t>
      </w:r>
      <w:r w:rsidRPr="004F56C1">
        <w:rPr>
          <w:rFonts w:ascii="Times New Roman" w:eastAsia="Calibri" w:hAnsi="Times New Roman" w:cs="Times New Roman"/>
          <w:sz w:val="28"/>
          <w:szCs w:val="28"/>
        </w:rPr>
        <w:t xml:space="preserve">Опыт деятельности государственно-общественного управления </w:t>
      </w:r>
      <w:r w:rsidR="00F623E0" w:rsidRPr="004F56C1">
        <w:rPr>
          <w:rFonts w:ascii="Times New Roman" w:eastAsia="Calibri" w:hAnsi="Times New Roman" w:cs="Times New Roman"/>
          <w:sz w:val="28"/>
          <w:szCs w:val="28"/>
        </w:rPr>
        <w:t xml:space="preserve">представителями ГОУ </w:t>
      </w:r>
      <w:r w:rsidR="004F56C1" w:rsidRPr="004F56C1">
        <w:rPr>
          <w:rFonts w:ascii="Times New Roman" w:eastAsia="Calibri" w:hAnsi="Times New Roman" w:cs="Times New Roman"/>
          <w:sz w:val="28"/>
          <w:szCs w:val="28"/>
        </w:rPr>
        <w:t>в 2020</w:t>
      </w:r>
      <w:r w:rsidRPr="004F56C1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родительской общественност</w:t>
      </w:r>
      <w:r w:rsidR="008A27E0">
        <w:rPr>
          <w:rFonts w:ascii="Times New Roman" w:eastAsia="Calibri" w:hAnsi="Times New Roman" w:cs="Times New Roman"/>
          <w:sz w:val="28"/>
          <w:szCs w:val="28"/>
        </w:rPr>
        <w:t>и</w:t>
      </w:r>
      <w:r w:rsidR="004F56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6C1" w:rsidRPr="00F468D1" w:rsidRDefault="007E3414" w:rsidP="004F5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5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56C1" w:rsidRPr="00D03050">
        <w:rPr>
          <w:rFonts w:ascii="Times New Roman" w:eastAsia="Times New Roman" w:hAnsi="Times New Roman" w:cs="Times New Roman"/>
          <w:sz w:val="28"/>
          <w:szCs w:val="28"/>
        </w:rPr>
        <w:t>ополнительны</w:t>
      </w:r>
      <w:r w:rsidRPr="00D030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56C1" w:rsidRPr="00D0305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Pr="00D03050">
        <w:rPr>
          <w:rFonts w:ascii="Times New Roman" w:eastAsia="Times New Roman" w:hAnsi="Times New Roman" w:cs="Times New Roman"/>
          <w:sz w:val="28"/>
          <w:szCs w:val="28"/>
        </w:rPr>
        <w:t>е программы</w:t>
      </w:r>
      <w:r w:rsidR="004F56C1" w:rsidRP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050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="004F56C1" w:rsidRPr="00D03050">
        <w:rPr>
          <w:sz w:val="28"/>
          <w:szCs w:val="28"/>
        </w:rPr>
        <w:t xml:space="preserve"> </w:t>
      </w:r>
      <w:r w:rsidR="004F56C1" w:rsidRPr="00D03050">
        <w:rPr>
          <w:rFonts w:ascii="Times New Roman" w:eastAsia="Times New Roman" w:hAnsi="Times New Roman" w:cs="Times New Roman"/>
          <w:sz w:val="28"/>
          <w:szCs w:val="28"/>
        </w:rPr>
        <w:t>в каждом</w:t>
      </w:r>
      <w:r w:rsidR="004F56C1" w:rsidRPr="004F56C1">
        <w:rPr>
          <w:rFonts w:ascii="Times New Roman" w:eastAsia="Times New Roman" w:hAnsi="Times New Roman" w:cs="Times New Roman"/>
          <w:sz w:val="28"/>
          <w:szCs w:val="28"/>
        </w:rPr>
        <w:t xml:space="preserve"> дошкольном учреждении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>В детских садах 32, 86 не менее</w:t>
      </w:r>
      <w:r w:rsidR="00D03050" w:rsidRP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03050" w:rsidRPr="00D03050">
        <w:rPr>
          <w:rFonts w:ascii="Times New Roman" w:eastAsia="Times New Roman" w:hAnsi="Times New Roman" w:cs="Times New Roman"/>
          <w:sz w:val="28"/>
          <w:szCs w:val="28"/>
        </w:rPr>
        <w:t>% воспитанников охвачено дополнительными образовательными программами естественнонаучной и технической направленности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6C1">
        <w:rPr>
          <w:rFonts w:ascii="Times New Roman" w:eastAsia="Times New Roman" w:hAnsi="Times New Roman" w:cs="Times New Roman"/>
          <w:sz w:val="28"/>
          <w:szCs w:val="28"/>
        </w:rPr>
        <w:t xml:space="preserve"> в 35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учреждениях </w:t>
      </w:r>
      <w:r w:rsidR="004F56C1" w:rsidRPr="004F56C1">
        <w:rPr>
          <w:rFonts w:ascii="Times New Roman" w:eastAsia="Times New Roman" w:hAnsi="Times New Roman" w:cs="Times New Roman"/>
          <w:sz w:val="28"/>
          <w:szCs w:val="28"/>
        </w:rPr>
        <w:t>дополнительными образовательными программами естественнонаучной и технической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50" w:rsidRPr="004F56C1">
        <w:rPr>
          <w:rFonts w:ascii="Times New Roman" w:eastAsia="Times New Roman" w:hAnsi="Times New Roman" w:cs="Times New Roman"/>
          <w:sz w:val="28"/>
          <w:szCs w:val="28"/>
        </w:rPr>
        <w:t>охва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чено </w:t>
      </w:r>
      <w:r>
        <w:rPr>
          <w:rFonts w:ascii="Times New Roman" w:eastAsia="Times New Roman" w:hAnsi="Times New Roman" w:cs="Times New Roman"/>
          <w:sz w:val="28"/>
          <w:szCs w:val="28"/>
        </w:rPr>
        <w:t>более 30% воспитанников (4,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10,</w:t>
      </w:r>
      <w:r w:rsidR="00D0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38,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40,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41,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44,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47,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49,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52,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56,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61,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62,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66,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67,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69,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71,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78,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79,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83,</w:t>
      </w:r>
      <w:r w:rsidR="00D03050"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>90)</w:t>
      </w:r>
      <w:r w:rsidR="004F56C1" w:rsidRPr="00F468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E4F" w:rsidRPr="00F468D1" w:rsidRDefault="00CB3E4F" w:rsidP="00CB3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D1">
        <w:rPr>
          <w:rFonts w:ascii="Times New Roman" w:eastAsia="Calibri" w:hAnsi="Times New Roman" w:cs="Times New Roman"/>
          <w:sz w:val="28"/>
          <w:szCs w:val="28"/>
        </w:rPr>
        <w:lastRenderedPageBreak/>
        <w:t>Одно из главных направлений, являющихся ведущим в дошкольных организациях – «Реализация программ по сохранению и укреплению здоровья обучающихся». Эффективным является выполнение натуральны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х норм питания. В 38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(100%) дошкольных образовательных организациях созданы условия для выполнения</w:t>
      </w:r>
      <w:r w:rsidR="00097E45">
        <w:rPr>
          <w:rFonts w:ascii="Times New Roman" w:eastAsia="Calibri" w:hAnsi="Times New Roman" w:cs="Times New Roman"/>
          <w:sz w:val="28"/>
          <w:szCs w:val="28"/>
        </w:rPr>
        <w:t xml:space="preserve"> натуральных норм питания. В 2020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году резул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ьтат этого показателя составил также 100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CB3E4F" w:rsidRPr="00F468D1" w:rsidRDefault="00CB3E4F" w:rsidP="00CB3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D1">
        <w:rPr>
          <w:rFonts w:ascii="Times New Roman" w:eastAsia="Calibri" w:hAnsi="Times New Roman" w:cs="Times New Roman"/>
          <w:sz w:val="28"/>
          <w:szCs w:val="28"/>
        </w:rPr>
        <w:t>По сравнению с 201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9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годом, на 1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1,7</w:t>
      </w:r>
      <w:r w:rsidRPr="00F468D1">
        <w:rPr>
          <w:rFonts w:ascii="Times New Roman" w:eastAsia="Calibri" w:hAnsi="Times New Roman" w:cs="Times New Roman"/>
          <w:sz w:val="28"/>
          <w:szCs w:val="28"/>
        </w:rPr>
        <w:t>% ул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учш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ился показатель заболеваемости (количество дней болезни на одного ребенка). Ниже среднего по городу 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 xml:space="preserve">в 32 (84,2%) </w:t>
      </w:r>
      <w:r w:rsidRPr="00F468D1">
        <w:rPr>
          <w:rFonts w:ascii="Times New Roman" w:eastAsia="Calibri" w:hAnsi="Times New Roman" w:cs="Times New Roman"/>
          <w:sz w:val="28"/>
          <w:szCs w:val="28"/>
        </w:rPr>
        <w:t>дошкольных организациях (в 201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9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году этот показатель составил 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72,5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%); на уровне 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выше среднего показателя по городу в 6</w:t>
      </w:r>
      <w:r w:rsidR="00506D8A" w:rsidRPr="00F468D1">
        <w:t xml:space="preserve"> </w:t>
      </w:r>
      <w:r w:rsidR="00506D8A" w:rsidRPr="00F468D1">
        <w:rPr>
          <w:rFonts w:ascii="Times New Roman" w:eastAsia="Calibri" w:hAnsi="Times New Roman" w:cs="Times New Roman"/>
          <w:sz w:val="28"/>
          <w:szCs w:val="28"/>
        </w:rPr>
        <w:t>дошкольных организациях (8, 62, 66, 71, 78, 86)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B3E4F" w:rsidRPr="00F468D1" w:rsidRDefault="00CB3E4F" w:rsidP="00CB3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обучающихся дошкольных организаций способствует организация физкультурно-оздоровительной и спортивной работы. Для осуществления такой деятельности в 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38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(100%) функционируют секции и кружки спортивной направленности. В сравнении с 201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9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годом на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 xml:space="preserve"> 4,8%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выросло значение показателя доли детей, охваченных секциями и кружками спортивной направленности. В 20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20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году этот показатель составил 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 xml:space="preserve">97,3% (в 2019 году </w:t>
      </w:r>
      <w:r w:rsidRPr="00F468D1">
        <w:rPr>
          <w:rFonts w:ascii="Times New Roman" w:eastAsia="Calibri" w:hAnsi="Times New Roman" w:cs="Times New Roman"/>
          <w:sz w:val="28"/>
          <w:szCs w:val="28"/>
        </w:rPr>
        <w:t>92,5%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, в 2018 – 86%).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У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величение показателя по сравнению с 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показателем 2019</w:t>
      </w:r>
      <w:r w:rsidRPr="00F468D1">
        <w:rPr>
          <w:rFonts w:ascii="Times New Roman" w:eastAsia="Calibri" w:hAnsi="Times New Roman" w:cs="Times New Roman"/>
          <w:sz w:val="28"/>
          <w:szCs w:val="28"/>
        </w:rPr>
        <w:t xml:space="preserve"> года в 37 ДОУ, на уровне прошлого года в ДОУ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F468D1">
        <w:rPr>
          <w:rFonts w:ascii="Times New Roman" w:eastAsia="Calibri" w:hAnsi="Times New Roman" w:cs="Times New Roman"/>
          <w:sz w:val="28"/>
          <w:szCs w:val="28"/>
        </w:rPr>
        <w:t>9</w:t>
      </w:r>
      <w:r w:rsidR="00F468D1" w:rsidRPr="00F468D1">
        <w:rPr>
          <w:rFonts w:ascii="Times New Roman" w:eastAsia="Calibri" w:hAnsi="Times New Roman" w:cs="Times New Roman"/>
          <w:sz w:val="28"/>
          <w:szCs w:val="28"/>
        </w:rPr>
        <w:t>0</w:t>
      </w:r>
      <w:r w:rsidRPr="00F46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6C1" w:rsidRPr="004F56C1" w:rsidRDefault="00D03050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050">
        <w:rPr>
          <w:rFonts w:ascii="Times New Roman" w:eastAsia="Calibri" w:hAnsi="Times New Roman" w:cs="Times New Roman"/>
          <w:sz w:val="28"/>
          <w:szCs w:val="28"/>
        </w:rPr>
        <w:t>Из оценивания эффективности деятельности дошкольной образовательной организации по показателю «Коэффициент посещаемости детьми дошкольной образовательной организации от показателей, доведенных муниципальным заданием», видно, что средний показатель посещаемости воспитанниками образовательной организации составляет 6,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  <w:r w:rsidRPr="00D03050">
        <w:rPr>
          <w:rFonts w:ascii="Times New Roman" w:eastAsia="Calibri" w:hAnsi="Times New Roman" w:cs="Times New Roman"/>
          <w:sz w:val="28"/>
          <w:szCs w:val="28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8"/>
        </w:rPr>
        <w:t>лов к максимальным 7 баллам</w:t>
      </w:r>
      <w:r w:rsidR="00097E45" w:rsidRPr="00097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E45">
        <w:rPr>
          <w:rFonts w:ascii="Times New Roman" w:eastAsia="Calibri" w:hAnsi="Times New Roman" w:cs="Times New Roman"/>
          <w:sz w:val="28"/>
          <w:szCs w:val="28"/>
        </w:rPr>
        <w:t>(в</w:t>
      </w:r>
      <w:r w:rsidR="00097E45" w:rsidRPr="00D0305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97E45">
        <w:rPr>
          <w:rFonts w:ascii="Times New Roman" w:eastAsia="Calibri" w:hAnsi="Times New Roman" w:cs="Times New Roman"/>
          <w:sz w:val="28"/>
          <w:szCs w:val="28"/>
        </w:rPr>
        <w:t>9 году –</w:t>
      </w:r>
      <w:r w:rsidR="00097E45" w:rsidRPr="00D03050">
        <w:rPr>
          <w:rFonts w:ascii="Times New Roman" w:eastAsia="Calibri" w:hAnsi="Times New Roman" w:cs="Times New Roman"/>
          <w:sz w:val="28"/>
          <w:szCs w:val="28"/>
        </w:rPr>
        <w:t xml:space="preserve"> 6,</w:t>
      </w:r>
      <w:r w:rsidR="00097E45">
        <w:rPr>
          <w:rFonts w:ascii="Times New Roman" w:eastAsia="Calibri" w:hAnsi="Times New Roman" w:cs="Times New Roman"/>
          <w:sz w:val="28"/>
          <w:szCs w:val="28"/>
        </w:rPr>
        <w:t>8</w:t>
      </w:r>
      <w:r w:rsidR="00097E45" w:rsidRPr="00D03050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097E4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097E45">
        <w:rPr>
          <w:rFonts w:ascii="Times New Roman" w:eastAsia="Calibri" w:hAnsi="Times New Roman" w:cs="Times New Roman"/>
          <w:sz w:val="28"/>
          <w:szCs w:val="28"/>
        </w:rPr>
        <w:t>37 (</w:t>
      </w:r>
      <w:r>
        <w:rPr>
          <w:rFonts w:ascii="Times New Roman" w:eastAsia="Calibri" w:hAnsi="Times New Roman" w:cs="Times New Roman"/>
          <w:sz w:val="28"/>
          <w:szCs w:val="28"/>
        </w:rPr>
        <w:t>94,7</w:t>
      </w:r>
      <w:r w:rsidRPr="00D03050">
        <w:rPr>
          <w:rFonts w:ascii="Times New Roman" w:eastAsia="Calibri" w:hAnsi="Times New Roman" w:cs="Times New Roman"/>
          <w:sz w:val="28"/>
          <w:szCs w:val="28"/>
        </w:rPr>
        <w:t>%</w:t>
      </w:r>
      <w:r w:rsidR="00097E45">
        <w:rPr>
          <w:rFonts w:ascii="Times New Roman" w:eastAsia="Calibri" w:hAnsi="Times New Roman" w:cs="Times New Roman"/>
          <w:sz w:val="28"/>
          <w:szCs w:val="28"/>
        </w:rPr>
        <w:t>)</w:t>
      </w:r>
      <w:r w:rsidRPr="00D03050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организациях показатель «Коэффициент посещаемости» имеет максимальное значение (выше 75%). Данный показатель косвенно отражает созданные в организации условия: адаптация детей раннего дошкольного возраста, соблюдение санитарно-гигиенических норм, норм организации питания в дошкольной организации, применение здоровьесберегающих технологий, работа с родителями по условиям организации посещения дошкольной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и др. По итогам 2020</w:t>
      </w:r>
      <w:r w:rsidRPr="00D0305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3E4F">
        <w:rPr>
          <w:rFonts w:ascii="Times New Roman" w:eastAsia="Calibri" w:hAnsi="Times New Roman" w:cs="Times New Roman"/>
          <w:sz w:val="28"/>
          <w:szCs w:val="28"/>
        </w:rPr>
        <w:t xml:space="preserve">а в дошкольных организациях </w:t>
      </w:r>
      <w:r w:rsidRPr="00D03050">
        <w:rPr>
          <w:rFonts w:ascii="Times New Roman" w:eastAsia="Calibri" w:hAnsi="Times New Roman" w:cs="Times New Roman"/>
          <w:sz w:val="28"/>
          <w:szCs w:val="28"/>
        </w:rPr>
        <w:t>9</w:t>
      </w:r>
      <w:r w:rsidR="00CB3E4F">
        <w:rPr>
          <w:rFonts w:ascii="Times New Roman" w:eastAsia="Calibri" w:hAnsi="Times New Roman" w:cs="Times New Roman"/>
          <w:sz w:val="28"/>
          <w:szCs w:val="28"/>
        </w:rPr>
        <w:t>, 21</w:t>
      </w:r>
      <w:r w:rsidRPr="00D03050">
        <w:rPr>
          <w:rFonts w:ascii="Times New Roman" w:eastAsia="Calibri" w:hAnsi="Times New Roman" w:cs="Times New Roman"/>
          <w:sz w:val="28"/>
          <w:szCs w:val="28"/>
        </w:rPr>
        <w:t xml:space="preserve"> посещаемость воспитанниками дошкольной образовательной организации</w:t>
      </w:r>
      <w:r w:rsidR="00CB3E4F">
        <w:rPr>
          <w:rFonts w:ascii="Times New Roman" w:eastAsia="Calibri" w:hAnsi="Times New Roman" w:cs="Times New Roman"/>
          <w:sz w:val="28"/>
          <w:szCs w:val="28"/>
        </w:rPr>
        <w:t xml:space="preserve"> находится</w:t>
      </w:r>
      <w:r w:rsidRPr="00D0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E4F">
        <w:rPr>
          <w:rFonts w:ascii="Times New Roman" w:eastAsia="Calibri" w:hAnsi="Times New Roman" w:cs="Times New Roman"/>
          <w:sz w:val="28"/>
          <w:szCs w:val="28"/>
        </w:rPr>
        <w:t>в средней группе значения критерия эффективности (от 60% до 75%)</w:t>
      </w:r>
      <w:r w:rsidRPr="00D030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1B6" w:rsidRDefault="00F6193C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1B6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во всех дошкольных</w:t>
      </w:r>
      <w:r w:rsidR="00350E19" w:rsidRPr="005911B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Pr="005911B6">
        <w:rPr>
          <w:rFonts w:ascii="Times New Roman" w:eastAsia="Calibri" w:hAnsi="Times New Roman" w:cs="Times New Roman"/>
          <w:sz w:val="28"/>
          <w:szCs w:val="28"/>
        </w:rPr>
        <w:t xml:space="preserve">организациях разработана и применяется программа наставничества. </w:t>
      </w:r>
      <w:r w:rsidR="00F468D1" w:rsidRPr="005911B6">
        <w:rPr>
          <w:rFonts w:ascii="Times New Roman" w:eastAsia="Calibri" w:hAnsi="Times New Roman" w:cs="Times New Roman"/>
          <w:sz w:val="28"/>
          <w:szCs w:val="28"/>
        </w:rPr>
        <w:t>В 36</w:t>
      </w:r>
      <w:r w:rsidR="009C76D9" w:rsidRPr="00591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E19" w:rsidRPr="005911B6">
        <w:rPr>
          <w:rFonts w:ascii="Times New Roman" w:eastAsia="Calibri" w:hAnsi="Times New Roman" w:cs="Times New Roman"/>
          <w:sz w:val="28"/>
          <w:szCs w:val="28"/>
        </w:rPr>
        <w:t>детских садах работает</w:t>
      </w:r>
      <w:r w:rsidR="009C76D9" w:rsidRPr="005911B6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350E19" w:rsidRPr="005911B6">
        <w:rPr>
          <w:rFonts w:ascii="Times New Roman" w:eastAsia="Calibri" w:hAnsi="Times New Roman" w:cs="Times New Roman"/>
          <w:sz w:val="28"/>
          <w:szCs w:val="28"/>
        </w:rPr>
        <w:br/>
      </w:r>
      <w:r w:rsidR="009C76D9" w:rsidRPr="005911B6">
        <w:rPr>
          <w:rFonts w:ascii="Times New Roman" w:eastAsia="Calibri" w:hAnsi="Times New Roman" w:cs="Times New Roman"/>
          <w:sz w:val="28"/>
          <w:szCs w:val="28"/>
        </w:rPr>
        <w:t xml:space="preserve">4% молодых </w:t>
      </w:r>
      <w:r w:rsidR="00B437E6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9C76D9" w:rsidRPr="005911B6">
        <w:rPr>
          <w:rFonts w:ascii="Times New Roman" w:eastAsia="Calibri" w:hAnsi="Times New Roman" w:cs="Times New Roman"/>
          <w:sz w:val="28"/>
          <w:szCs w:val="28"/>
        </w:rPr>
        <w:t>ов в возрасте до 30 лет.</w:t>
      </w:r>
      <w:r w:rsidR="00F468D1" w:rsidRPr="005911B6">
        <w:rPr>
          <w:rFonts w:ascii="Times New Roman" w:eastAsia="Calibri" w:hAnsi="Times New Roman" w:cs="Times New Roman"/>
          <w:sz w:val="28"/>
          <w:szCs w:val="28"/>
        </w:rPr>
        <w:t xml:space="preserve"> В ДОУ №32, 56 не менее 3% </w:t>
      </w:r>
      <w:r w:rsidR="005911B6" w:rsidRPr="005911B6">
        <w:rPr>
          <w:rFonts w:ascii="Times New Roman" w:eastAsia="Calibri" w:hAnsi="Times New Roman" w:cs="Times New Roman"/>
          <w:sz w:val="28"/>
          <w:szCs w:val="28"/>
        </w:rPr>
        <w:t xml:space="preserve">молодых специалистов в возрасте до 30 лет. </w:t>
      </w:r>
    </w:p>
    <w:p w:rsidR="00802AA8" w:rsidRPr="00802AA8" w:rsidRDefault="009C76D9" w:rsidP="0080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измеряется показателем «Создание безбарьерной среды». Этот показатель отражает созданные условия в дошкольной организации для маломобильных групп </w:t>
      </w:r>
      <w:r w:rsidRPr="00802A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населения, то есть наличие элементов доступности объекта: визуальные, тактильные, акустические, </w:t>
      </w:r>
      <w:r w:rsidR="00802AA8" w:rsidRPr="00802AA8">
        <w:rPr>
          <w:rFonts w:ascii="Times New Roman" w:eastAsia="Calibri" w:hAnsi="Times New Roman" w:cs="Times New Roman"/>
          <w:sz w:val="28"/>
          <w:szCs w:val="28"/>
        </w:rPr>
        <w:t>пандусы или подъемное оборудование (ступенькоход), «кнопка вызова».</w:t>
      </w:r>
    </w:p>
    <w:p w:rsidR="009C76D9" w:rsidRDefault="009C76D9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02AA8" w:rsidRPr="00802AA8">
        <w:rPr>
          <w:rFonts w:ascii="Times New Roman" w:eastAsia="Calibri" w:hAnsi="Times New Roman" w:cs="Times New Roman"/>
          <w:sz w:val="28"/>
          <w:szCs w:val="28"/>
        </w:rPr>
        <w:t>37</w:t>
      </w:r>
      <w:r w:rsidR="00802AA8">
        <w:rPr>
          <w:rFonts w:ascii="Times New Roman" w:eastAsia="Calibri" w:hAnsi="Times New Roman" w:cs="Times New Roman"/>
          <w:sz w:val="28"/>
          <w:szCs w:val="28"/>
        </w:rPr>
        <w:t xml:space="preserve"> (97,3%)</w:t>
      </w: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(ДОУ №</w:t>
      </w:r>
      <w:r w:rsidR="00802AA8" w:rsidRPr="00802AA8">
        <w:rPr>
          <w:rFonts w:ascii="Times New Roman" w:eastAsia="Calibri" w:hAnsi="Times New Roman" w:cs="Times New Roman"/>
          <w:sz w:val="28"/>
          <w:szCs w:val="28"/>
        </w:rPr>
        <w:t>4, 5, 7, 8, 9, 10, 15, 17, 21, 25, 27, 29, 31, 32, 37, 38, 40, 41, 44, 47, 49, 52, 54, 56, 61, 62, 66, 67, 68, 69, 71, 77, 78, 79, 80, 83, 86)</w:t>
      </w: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 среда, созданная для маломобильных групп населения, имеет </w:t>
      </w:r>
      <w:r w:rsidR="00C3697A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EF6790" w:rsidRPr="00802AA8">
        <w:rPr>
          <w:rFonts w:ascii="Times New Roman" w:eastAsia="Calibri" w:hAnsi="Times New Roman" w:cs="Times New Roman"/>
          <w:sz w:val="28"/>
          <w:szCs w:val="28"/>
        </w:rPr>
        <w:t>4</w:t>
      </w: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 w:rsidR="00C3697A">
        <w:rPr>
          <w:rFonts w:ascii="Times New Roman" w:eastAsia="Calibri" w:hAnsi="Times New Roman" w:cs="Times New Roman"/>
          <w:sz w:val="28"/>
          <w:szCs w:val="28"/>
        </w:rPr>
        <w:t>ов</w:t>
      </w:r>
      <w:r w:rsidRPr="00802AA8">
        <w:rPr>
          <w:rFonts w:ascii="Times New Roman" w:eastAsia="Calibri" w:hAnsi="Times New Roman" w:cs="Times New Roman"/>
          <w:sz w:val="28"/>
          <w:szCs w:val="28"/>
        </w:rPr>
        <w:t xml:space="preserve"> доступности. </w:t>
      </w:r>
    </w:p>
    <w:p w:rsidR="00BE7089" w:rsidRDefault="00BE7089" w:rsidP="00BE70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13 дошкольных учреждениях (4, 7, 29, 37, 38, 40, 41, 52, 62, 66, 68, 80, 86) привлечение дополнительных средств на цели развития образования образовательной организации в 2020 году составило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свыше 2 млн. рублей.</w:t>
      </w:r>
    </w:p>
    <w:p w:rsidR="00FF6EA0" w:rsidRPr="0090520B" w:rsidRDefault="00FF6EA0" w:rsidP="00FF6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20B">
        <w:rPr>
          <w:rFonts w:ascii="Times New Roman" w:eastAsia="Calibri" w:hAnsi="Times New Roman" w:cs="Times New Roman"/>
          <w:sz w:val="28"/>
          <w:szCs w:val="28"/>
        </w:rPr>
        <w:t>Информационная открытость является обязательным требованием к обр</w:t>
      </w:r>
      <w:r w:rsidR="0090520B" w:rsidRPr="0090520B">
        <w:rPr>
          <w:rFonts w:ascii="Times New Roman" w:eastAsia="Calibri" w:hAnsi="Times New Roman" w:cs="Times New Roman"/>
          <w:sz w:val="28"/>
          <w:szCs w:val="28"/>
        </w:rPr>
        <w:t>азовательным организациям. В 2020</w:t>
      </w:r>
      <w:r w:rsidRPr="0090520B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802AA8">
        <w:rPr>
          <w:rFonts w:ascii="Times New Roman" w:eastAsia="Calibri" w:hAnsi="Times New Roman" w:cs="Times New Roman"/>
          <w:sz w:val="28"/>
          <w:szCs w:val="28"/>
        </w:rPr>
        <w:t>8</w:t>
      </w:r>
      <w:r w:rsidRPr="0090520B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 приняли участие в независимой оценке деятельности образовательной организации на муниципальном уровне (проведение независимой оценки Общественным советом по проведению независимой оценки качества условий осуществления образовательной деятельности образовательными организациями, подведомственными департаменту образования администрации города Нижневартовска</w:t>
      </w:r>
      <w:r w:rsidR="00802AA8">
        <w:rPr>
          <w:rFonts w:ascii="Times New Roman" w:eastAsia="Calibri" w:hAnsi="Times New Roman" w:cs="Times New Roman"/>
          <w:sz w:val="28"/>
          <w:szCs w:val="28"/>
        </w:rPr>
        <w:t>)</w:t>
      </w:r>
      <w:r w:rsidRPr="009052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772" w:rsidRPr="00FF6EA0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A0">
        <w:rPr>
          <w:rFonts w:ascii="Times New Roman" w:eastAsia="Calibri" w:hAnsi="Times New Roman" w:cs="Times New Roman"/>
          <w:sz w:val="28"/>
          <w:szCs w:val="28"/>
        </w:rPr>
        <w:t xml:space="preserve">Характер полученных результатов независимой оценки качества является положительным. </w:t>
      </w:r>
      <w:r w:rsidR="004E062D" w:rsidRPr="00FF6EA0">
        <w:rPr>
          <w:rFonts w:ascii="Times New Roman" w:eastAsia="Calibri" w:hAnsi="Times New Roman" w:cs="Times New Roman"/>
          <w:sz w:val="28"/>
          <w:szCs w:val="28"/>
        </w:rPr>
        <w:t>В 3</w:t>
      </w:r>
      <w:r w:rsidR="00802AA8">
        <w:rPr>
          <w:rFonts w:ascii="Times New Roman" w:eastAsia="Calibri" w:hAnsi="Times New Roman" w:cs="Times New Roman"/>
          <w:sz w:val="28"/>
          <w:szCs w:val="28"/>
        </w:rPr>
        <w:t>8</w:t>
      </w:r>
      <w:r w:rsidR="004E062D" w:rsidRPr="00FF6EA0">
        <w:rPr>
          <w:rFonts w:ascii="Times New Roman" w:eastAsia="Calibri" w:hAnsi="Times New Roman" w:cs="Times New Roman"/>
          <w:sz w:val="28"/>
          <w:szCs w:val="28"/>
        </w:rPr>
        <w:t xml:space="preserve"> детских садах уровень удовлетворенности качеством условий осуществления образовательной деятельности составил более 85%.</w:t>
      </w:r>
    </w:p>
    <w:p w:rsidR="00EC2C18" w:rsidRPr="00EC2C18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дошкольных образовательных организаций составил 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>91</w:t>
      </w:r>
      <w:r w:rsidR="000F73C3" w:rsidRPr="00EC2C18">
        <w:rPr>
          <w:rFonts w:ascii="Times New Roman" w:eastAsia="Calibri" w:hAnsi="Times New Roman" w:cs="Times New Roman"/>
          <w:sz w:val="28"/>
          <w:szCs w:val="28"/>
        </w:rPr>
        <w:t>,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>39</w:t>
      </w:r>
      <w:r w:rsidR="00B366B7" w:rsidRPr="00EC2C18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0F73C3" w:rsidRPr="00EC2C18">
        <w:rPr>
          <w:rFonts w:ascii="Times New Roman" w:eastAsia="Calibri" w:hAnsi="Times New Roman" w:cs="Times New Roman"/>
          <w:sz w:val="28"/>
          <w:szCs w:val="28"/>
        </w:rPr>
        <w:t>100,00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 максимально возможных или 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>91,39</w:t>
      </w:r>
      <w:r w:rsidR="004C1D78" w:rsidRPr="00EC2C18">
        <w:rPr>
          <w:rFonts w:ascii="Times New Roman" w:eastAsia="Calibri" w:hAnsi="Times New Roman" w:cs="Times New Roman"/>
          <w:sz w:val="28"/>
          <w:szCs w:val="28"/>
        </w:rPr>
        <w:t>%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>, что выше показателя 2019 года на 2 %.</w:t>
      </w:r>
    </w:p>
    <w:p w:rsidR="00C00772" w:rsidRPr="00EC2C18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 (</w:t>
      </w:r>
      <w:r w:rsidR="005D00A9" w:rsidRPr="00EC2C18">
        <w:rPr>
          <w:rFonts w:ascii="Times New Roman" w:eastAsia="Calibri" w:hAnsi="Times New Roman" w:cs="Times New Roman"/>
          <w:sz w:val="28"/>
          <w:szCs w:val="28"/>
        </w:rPr>
        <w:t>100,00</w:t>
      </w:r>
      <w:r w:rsidR="00B366B7" w:rsidRPr="00EC2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D00A9" w:rsidRPr="00EC2C18">
        <w:rPr>
          <w:rFonts w:ascii="Times New Roman" w:eastAsia="Calibri" w:hAnsi="Times New Roman" w:cs="Times New Roman"/>
          <w:sz w:val="28"/>
          <w:szCs w:val="28"/>
        </w:rPr>
        <w:t>100,00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 возможных)  получили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 xml:space="preserve"> шесть детских садов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F8F" w:rsidRPr="00EC2C18" w:rsidRDefault="00CE0F8F" w:rsidP="00CE0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 (заведующий Беляева Надежда В</w:t>
      </w:r>
      <w:r w:rsidR="00EC2C18" w:rsidRPr="00EC2C18">
        <w:rPr>
          <w:rFonts w:ascii="Times New Roman" w:eastAsia="Calibri" w:hAnsi="Times New Roman" w:cs="Times New Roman"/>
          <w:sz w:val="28"/>
          <w:szCs w:val="28"/>
        </w:rPr>
        <w:t>итальевна</w:t>
      </w:r>
      <w:r w:rsidRPr="00EC2C1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E0F8F" w:rsidRPr="00EC2C18" w:rsidRDefault="00CE0F8F" w:rsidP="00CE0F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№37 «Дружная семейка» (заведующий Щербинина Ирина Владимировна);</w:t>
      </w:r>
    </w:p>
    <w:p w:rsidR="00FC6BD5" w:rsidRPr="00EC2C18" w:rsidRDefault="00FC6BD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№38 «Домовёнок» (заведующий Бондарева Лариса Агзамовна);</w:t>
      </w:r>
    </w:p>
    <w:p w:rsidR="00C00772" w:rsidRPr="00EC2C18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</w:t>
      </w:r>
      <w:r w:rsidR="00FC6BD5" w:rsidRPr="00EC2C18">
        <w:rPr>
          <w:rFonts w:ascii="Times New Roman" w:eastAsia="Calibri" w:hAnsi="Times New Roman" w:cs="Times New Roman"/>
          <w:sz w:val="28"/>
          <w:szCs w:val="28"/>
        </w:rPr>
        <w:t xml:space="preserve">№40 «Золотая рыбка» </w:t>
      </w:r>
      <w:r w:rsidRPr="00EC2C18">
        <w:rPr>
          <w:rFonts w:ascii="Times New Roman" w:eastAsia="Calibri" w:hAnsi="Times New Roman" w:cs="Times New Roman"/>
          <w:sz w:val="28"/>
          <w:szCs w:val="28"/>
        </w:rPr>
        <w:t xml:space="preserve">(заведующий </w:t>
      </w:r>
      <w:r w:rsidR="00FC6BD5" w:rsidRPr="00EC2C18">
        <w:rPr>
          <w:rFonts w:ascii="Times New Roman" w:eastAsia="Calibri" w:hAnsi="Times New Roman" w:cs="Times New Roman"/>
          <w:sz w:val="28"/>
          <w:szCs w:val="28"/>
        </w:rPr>
        <w:t>Осадчая Резида Тагировна</w:t>
      </w:r>
      <w:r w:rsidRPr="00EC2C1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C6BD5" w:rsidRPr="00EC2C18" w:rsidRDefault="00FC6BD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«Росинка» (заведующий Ротова Рамзия Агзамовна);</w:t>
      </w:r>
    </w:p>
    <w:p w:rsidR="00C00772" w:rsidRPr="003C76F7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города Нижневартовска детский сад №80 «Светлячок» (заведующий Краснухина Ольга Владимировна).</w:t>
      </w:r>
    </w:p>
    <w:p w:rsidR="00C00772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D5">
        <w:rPr>
          <w:rFonts w:ascii="Times New Roman" w:eastAsia="Calibri" w:hAnsi="Times New Roman" w:cs="Times New Roman"/>
          <w:sz w:val="28"/>
          <w:szCs w:val="28"/>
        </w:rPr>
        <w:t>По результатам оценки э</w:t>
      </w:r>
      <w:r w:rsidR="00CE0F8F">
        <w:rPr>
          <w:rFonts w:ascii="Times New Roman" w:eastAsia="Calibri" w:hAnsi="Times New Roman" w:cs="Times New Roman"/>
          <w:sz w:val="28"/>
          <w:szCs w:val="28"/>
        </w:rPr>
        <w:t>ффективности деятельности за 2020</w:t>
      </w:r>
      <w:r w:rsidRPr="00FC6BD5">
        <w:rPr>
          <w:rFonts w:ascii="Times New Roman" w:eastAsia="Calibri" w:hAnsi="Times New Roman" w:cs="Times New Roman"/>
          <w:sz w:val="28"/>
          <w:szCs w:val="28"/>
        </w:rPr>
        <w:t xml:space="preserve"> год дошкольные образовательные организации им</w:t>
      </w:r>
      <w:r w:rsidR="00466BDE">
        <w:rPr>
          <w:rFonts w:ascii="Times New Roman" w:eastAsia="Calibri" w:hAnsi="Times New Roman" w:cs="Times New Roman"/>
          <w:sz w:val="28"/>
          <w:szCs w:val="28"/>
        </w:rPr>
        <w:t>еют следующие рейтинговые места: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903"/>
        <w:gridCol w:w="2942"/>
      </w:tblGrid>
      <w:tr w:rsidR="00396E5B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B" w:rsidRPr="00BE7089" w:rsidRDefault="00CE0F8F" w:rsidP="00BE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Рейтинговое место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B" w:rsidRPr="00BE7089" w:rsidRDefault="00CE0F8F" w:rsidP="00BE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BE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96E5B" w:rsidRPr="00BE7089" w:rsidRDefault="00CE0F8F" w:rsidP="00BE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баллов, 2020 год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№4 «Сказка»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B437E6" w:rsidP="00B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№37 «</w:t>
            </w:r>
            <w:r w:rsidR="00CE0F8F"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Дружная семейка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tabs>
                <w:tab w:val="left" w:pos="1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№38 «Домовёнок»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№40 «Золотая рыбка»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CE0F8F" w:rsidRPr="00BE7089" w:rsidTr="000B6D39">
        <w:trPr>
          <w:trHeight w:val="29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№41 «Росинка»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№80 «Светлячок»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№68 «Ромашка»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</w:t>
            </w:r>
            <w:r w:rsid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№29 «Ёлочка»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№10 «Белочка»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№25 «Семицветик»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№49 «Родничок»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№67 «Умка»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№52 «Самолётик»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№71 «Радость»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№69 «Светофорчик»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№47 «Успех»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№83 «Жемчужина»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№44 «Золотой ключик»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№15 «Солнышко»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№17 «Ладушки»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№31 «Медвежонок»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№62 «Журавушка»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№90 «Айболит»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89,75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№21 «Звездочка»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№7 «Жар-птица»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№5 «Мечта»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№54 «Катюша»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№77 «Эрудит»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№66 «Забавушка»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№86  «Былинушка»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№78 «Серебряное копытце»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№32 «Брусничка»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№79 «Голосистое  горлышко»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№9 «Малахитовая шкатулка»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№61 «Соловушка»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</w:tr>
      <w:tr w:rsidR="00796BB4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B4" w:rsidRPr="00BE7089" w:rsidRDefault="00796BB4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B4" w:rsidRPr="00BE7089" w:rsidRDefault="00796BB4" w:rsidP="0079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№8 «Снеговичок»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B4" w:rsidRPr="00BE7089" w:rsidRDefault="00796BB4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</w:tr>
      <w:tr w:rsidR="00CE0F8F" w:rsidRPr="00BE7089" w:rsidTr="000B6D3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796BB4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№27 «Филиппок»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</w:tr>
      <w:tr w:rsidR="00CE0F8F" w:rsidRPr="00BE7089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796BB4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BE7089" w:rsidRDefault="00CE0F8F" w:rsidP="00CE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№56 «Северяночка»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BE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E0F8F" w:rsidRPr="00396E5B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396E5B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  <w:shd w:val="clear" w:color="auto" w:fill="auto"/>
            <w:vAlign w:val="center"/>
          </w:tcPr>
          <w:p w:rsidR="00CE0F8F" w:rsidRPr="0053609E" w:rsidRDefault="00CE0F8F" w:rsidP="00CE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EC2C18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91,39</w:t>
            </w:r>
          </w:p>
        </w:tc>
      </w:tr>
      <w:tr w:rsidR="00CE0F8F" w:rsidRPr="00396E5B" w:rsidTr="00BE708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F" w:rsidRPr="00396E5B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0F8F" w:rsidRPr="0053609E" w:rsidRDefault="00CE0F8F" w:rsidP="00CE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F" w:rsidRPr="00BE7089" w:rsidRDefault="00CE0F8F" w:rsidP="00CE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</w:tbl>
    <w:p w:rsidR="00C00772" w:rsidRPr="00523EED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00772" w:rsidRPr="00412003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sz w:val="28"/>
          <w:szCs w:val="28"/>
        </w:rPr>
        <w:tab/>
      </w:r>
      <w:r w:rsidRPr="00412003">
        <w:rPr>
          <w:rFonts w:ascii="Times New Roman" w:eastAsia="Calibri" w:hAnsi="Times New Roman" w:cs="Times New Roman"/>
          <w:sz w:val="28"/>
          <w:szCs w:val="28"/>
        </w:rPr>
        <w:t>Учитывая результаты эффективности деятельности муниципальных образовательных организаций, реализующих образовательную программу дошкольного образования, для достижения наибольшей эффективности деятельности в следующем отчетном году, дошкольным образовательным организациям необходимо:</w:t>
      </w:r>
    </w:p>
    <w:p w:rsidR="00BE7089" w:rsidRDefault="00C00772" w:rsidP="00771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77198F" w:rsidRPr="0077198F">
        <w:t xml:space="preserve"> </w:t>
      </w:r>
      <w:r w:rsidR="0077198F">
        <w:rPr>
          <w:rFonts w:ascii="Times New Roman" w:eastAsia="Calibri" w:hAnsi="Times New Roman" w:cs="Times New Roman"/>
          <w:sz w:val="28"/>
          <w:szCs w:val="28"/>
        </w:rPr>
        <w:t>Осуществить мероприятия по расширению</w:t>
      </w:r>
      <w:r w:rsidR="0077198F" w:rsidRPr="0077198F">
        <w:rPr>
          <w:rFonts w:ascii="Times New Roman" w:eastAsia="Calibri" w:hAnsi="Times New Roman" w:cs="Times New Roman"/>
          <w:sz w:val="28"/>
          <w:szCs w:val="28"/>
        </w:rPr>
        <w:t xml:space="preserve"> вариативности реализуемых форм и п</w:t>
      </w:r>
      <w:r w:rsidR="0077198F">
        <w:rPr>
          <w:rFonts w:ascii="Times New Roman" w:eastAsia="Calibri" w:hAnsi="Times New Roman" w:cs="Times New Roman"/>
          <w:sz w:val="28"/>
          <w:szCs w:val="28"/>
        </w:rPr>
        <w:t>рограмм дошкольного образования, в том числе, по развитию</w:t>
      </w:r>
      <w:r w:rsidR="0077198F" w:rsidRPr="0077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98F">
        <w:rPr>
          <w:rFonts w:ascii="Times New Roman" w:eastAsia="Calibri" w:hAnsi="Times New Roman" w:cs="Times New Roman"/>
          <w:sz w:val="28"/>
          <w:szCs w:val="28"/>
        </w:rPr>
        <w:t>системы ранней помощи и созданию</w:t>
      </w:r>
      <w:r w:rsidR="0077198F" w:rsidRPr="0077198F">
        <w:rPr>
          <w:rFonts w:ascii="Times New Roman" w:eastAsia="Calibri" w:hAnsi="Times New Roman" w:cs="Times New Roman"/>
          <w:sz w:val="28"/>
          <w:szCs w:val="28"/>
        </w:rPr>
        <w:t xml:space="preserve"> условий для раннего развития детей до 3 лет (не менее 90% ДОУ, в которых созданы условия для раннего развития детей).</w:t>
      </w:r>
    </w:p>
    <w:p w:rsidR="00C00772" w:rsidRPr="00412003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sz w:val="28"/>
          <w:szCs w:val="28"/>
        </w:rPr>
        <w:tab/>
        <w:t xml:space="preserve">2. Продолжить организацию деятельности в образовательной организации по реализации доступности дошкольного образования. </w:t>
      </w:r>
    </w:p>
    <w:p w:rsidR="005D00A9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12003">
        <w:rPr>
          <w:rFonts w:ascii="Times New Roman" w:eastAsia="Calibri" w:hAnsi="Times New Roman" w:cs="Times New Roman"/>
          <w:sz w:val="28"/>
          <w:szCs w:val="28"/>
        </w:rPr>
        <w:t xml:space="preserve">3. Осуществить анализ работы </w:t>
      </w:r>
      <w:r w:rsidR="005D00A9" w:rsidRPr="00412003">
        <w:rPr>
          <w:rFonts w:ascii="Times New Roman" w:eastAsia="Calibri" w:hAnsi="Times New Roman" w:cs="Times New Roman"/>
          <w:sz w:val="28"/>
          <w:szCs w:val="28"/>
        </w:rPr>
        <w:t xml:space="preserve">по сохранению и укреплению здоровья </w:t>
      </w:r>
      <w:r w:rsidR="00677372" w:rsidRPr="00412003">
        <w:rPr>
          <w:rFonts w:ascii="Times New Roman" w:eastAsia="Calibri" w:hAnsi="Times New Roman" w:cs="Times New Roman"/>
          <w:sz w:val="28"/>
          <w:szCs w:val="28"/>
        </w:rPr>
        <w:t>воспитанников, проводить профилактическую противоэпидемиологическую, санитарно-просветительную работу, создать максимальные условия для</w:t>
      </w:r>
      <w:r w:rsidR="00677372" w:rsidRPr="00677372">
        <w:rPr>
          <w:rFonts w:ascii="Times New Roman" w:eastAsia="Calibri" w:hAnsi="Times New Roman" w:cs="Times New Roman"/>
          <w:sz w:val="28"/>
          <w:szCs w:val="28"/>
        </w:rPr>
        <w:t xml:space="preserve"> оздоровления детей</w:t>
      </w:r>
      <w:r w:rsidR="00677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772" w:rsidRPr="00C00772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sz w:val="28"/>
          <w:szCs w:val="28"/>
        </w:rPr>
        <w:tab/>
        <w:t>4. Провести анализ эффективности деятельности дошк</w:t>
      </w:r>
      <w:r w:rsidR="00BE7089">
        <w:rPr>
          <w:rFonts w:ascii="Times New Roman" w:eastAsia="Calibri" w:hAnsi="Times New Roman" w:cs="Times New Roman"/>
          <w:sz w:val="28"/>
          <w:szCs w:val="28"/>
        </w:rPr>
        <w:t>ольной организации по итогам 2020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года. Разработать меры по повышению </w:t>
      </w:r>
      <w:r w:rsidR="003C76F7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в 202</w:t>
      </w:r>
      <w:r w:rsidR="00BE7089">
        <w:rPr>
          <w:rFonts w:ascii="Times New Roman" w:eastAsia="Calibri" w:hAnsi="Times New Roman" w:cs="Times New Roman"/>
          <w:sz w:val="28"/>
          <w:szCs w:val="28"/>
        </w:rPr>
        <w:t>1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00772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00772" w:rsidSect="00E57BA2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47" w:rsidRDefault="00743A47">
      <w:pPr>
        <w:spacing w:after="0" w:line="240" w:lineRule="auto"/>
      </w:pPr>
      <w:r>
        <w:separator/>
      </w:r>
    </w:p>
  </w:endnote>
  <w:endnote w:type="continuationSeparator" w:id="0">
    <w:p w:rsidR="00743A47" w:rsidRDefault="0074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47" w:rsidRDefault="00743A47">
      <w:pPr>
        <w:spacing w:after="0" w:line="240" w:lineRule="auto"/>
      </w:pPr>
      <w:r>
        <w:separator/>
      </w:r>
    </w:p>
  </w:footnote>
  <w:footnote w:type="continuationSeparator" w:id="0">
    <w:p w:rsidR="00743A47" w:rsidRDefault="0074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507848"/>
      <w:docPartObj>
        <w:docPartGallery w:val="Page Numbers (Top of Page)"/>
        <w:docPartUnique/>
      </w:docPartObj>
    </w:sdtPr>
    <w:sdtEndPr/>
    <w:sdtContent>
      <w:p w:rsidR="00D16863" w:rsidRDefault="00D1686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C6" w:rsidRPr="00A519C6">
          <w:rPr>
            <w:noProof/>
            <w:lang w:val="ru-RU"/>
          </w:rPr>
          <w:t>3</w:t>
        </w:r>
        <w:r>
          <w:fldChar w:fldCharType="end"/>
        </w:r>
      </w:p>
    </w:sdtContent>
  </w:sdt>
  <w:p w:rsidR="00D16863" w:rsidRDefault="00D16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67843"/>
    <w:multiLevelType w:val="hybridMultilevel"/>
    <w:tmpl w:val="8090B834"/>
    <w:lvl w:ilvl="0" w:tplc="4C269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5F8"/>
    <w:multiLevelType w:val="hybridMultilevel"/>
    <w:tmpl w:val="5FD285E2"/>
    <w:lvl w:ilvl="0" w:tplc="E754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32B9A"/>
    <w:multiLevelType w:val="hybridMultilevel"/>
    <w:tmpl w:val="DC9C0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F32E37"/>
    <w:multiLevelType w:val="hybridMultilevel"/>
    <w:tmpl w:val="75CE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81946"/>
    <w:multiLevelType w:val="hybridMultilevel"/>
    <w:tmpl w:val="8E2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2B0"/>
    <w:multiLevelType w:val="hybridMultilevel"/>
    <w:tmpl w:val="CC00D916"/>
    <w:lvl w:ilvl="0" w:tplc="E75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7D6B49"/>
    <w:multiLevelType w:val="hybridMultilevel"/>
    <w:tmpl w:val="3DEE3A3C"/>
    <w:lvl w:ilvl="0" w:tplc="14C2B3C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F43CA2"/>
    <w:multiLevelType w:val="hybridMultilevel"/>
    <w:tmpl w:val="C244364C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711FE"/>
    <w:multiLevelType w:val="hybridMultilevel"/>
    <w:tmpl w:val="EE0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862"/>
    <w:multiLevelType w:val="hybridMultilevel"/>
    <w:tmpl w:val="8CA66750"/>
    <w:lvl w:ilvl="0" w:tplc="698EF00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EB6C90"/>
    <w:multiLevelType w:val="hybridMultilevel"/>
    <w:tmpl w:val="4CE69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DA71CF"/>
    <w:multiLevelType w:val="hybridMultilevel"/>
    <w:tmpl w:val="DD76709C"/>
    <w:lvl w:ilvl="0" w:tplc="BF3ACD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5B3102"/>
    <w:multiLevelType w:val="hybridMultilevel"/>
    <w:tmpl w:val="6F301C76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935DE9"/>
    <w:multiLevelType w:val="hybridMultilevel"/>
    <w:tmpl w:val="3870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15F9"/>
    <w:multiLevelType w:val="hybridMultilevel"/>
    <w:tmpl w:val="394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24212"/>
    <w:multiLevelType w:val="multilevel"/>
    <w:tmpl w:val="58B2FC1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4506DB"/>
    <w:multiLevelType w:val="hybridMultilevel"/>
    <w:tmpl w:val="63B0E63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29D72DA"/>
    <w:multiLevelType w:val="hybridMultilevel"/>
    <w:tmpl w:val="B7F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E1E28"/>
    <w:multiLevelType w:val="hybridMultilevel"/>
    <w:tmpl w:val="D7BE197A"/>
    <w:lvl w:ilvl="0" w:tplc="DBF4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5D40F9"/>
    <w:multiLevelType w:val="hybridMultilevel"/>
    <w:tmpl w:val="A3103FD4"/>
    <w:lvl w:ilvl="0" w:tplc="E17023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27048"/>
    <w:multiLevelType w:val="hybridMultilevel"/>
    <w:tmpl w:val="0AC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E6B40"/>
    <w:multiLevelType w:val="hybridMultilevel"/>
    <w:tmpl w:val="AD344600"/>
    <w:lvl w:ilvl="0" w:tplc="698EF0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44760"/>
    <w:multiLevelType w:val="hybridMultilevel"/>
    <w:tmpl w:val="1B3C2A4E"/>
    <w:lvl w:ilvl="0" w:tplc="DECA724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1E7626"/>
    <w:multiLevelType w:val="hybridMultilevel"/>
    <w:tmpl w:val="CB62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C0E"/>
    <w:multiLevelType w:val="hybridMultilevel"/>
    <w:tmpl w:val="3BC41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92F5DE6"/>
    <w:multiLevelType w:val="hybridMultilevel"/>
    <w:tmpl w:val="1DB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7628"/>
    <w:multiLevelType w:val="hybridMultilevel"/>
    <w:tmpl w:val="8D64D1AA"/>
    <w:lvl w:ilvl="0" w:tplc="7F149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DBE2F09"/>
    <w:multiLevelType w:val="hybridMultilevel"/>
    <w:tmpl w:val="5BF06DB4"/>
    <w:lvl w:ilvl="0" w:tplc="698EF00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0C5A65"/>
    <w:multiLevelType w:val="hybridMultilevel"/>
    <w:tmpl w:val="2BF25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F25206"/>
    <w:multiLevelType w:val="hybridMultilevel"/>
    <w:tmpl w:val="1166E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5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19"/>
  </w:num>
  <w:num w:numId="10">
    <w:abstractNumId w:val="1"/>
  </w:num>
  <w:num w:numId="11">
    <w:abstractNumId w:val="16"/>
  </w:num>
  <w:num w:numId="12">
    <w:abstractNumId w:val="3"/>
  </w:num>
  <w:num w:numId="13">
    <w:abstractNumId w:val="17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11"/>
  </w:num>
  <w:num w:numId="24">
    <w:abstractNumId w:val="13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4"/>
  </w:num>
  <w:num w:numId="30">
    <w:abstractNumId w:val="14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72"/>
    <w:rsid w:val="000077E5"/>
    <w:rsid w:val="00022E98"/>
    <w:rsid w:val="0002502A"/>
    <w:rsid w:val="0002634C"/>
    <w:rsid w:val="0003533C"/>
    <w:rsid w:val="00097E45"/>
    <w:rsid w:val="000B4D1E"/>
    <w:rsid w:val="000B6D39"/>
    <w:rsid w:val="000D7E30"/>
    <w:rsid w:val="000F73C3"/>
    <w:rsid w:val="0011032F"/>
    <w:rsid w:val="0011105A"/>
    <w:rsid w:val="001244FB"/>
    <w:rsid w:val="00135D8F"/>
    <w:rsid w:val="00140BE1"/>
    <w:rsid w:val="001450CB"/>
    <w:rsid w:val="0016175B"/>
    <w:rsid w:val="0017114B"/>
    <w:rsid w:val="00193669"/>
    <w:rsid w:val="00196ABF"/>
    <w:rsid w:val="00197F79"/>
    <w:rsid w:val="001B0AF9"/>
    <w:rsid w:val="001C488D"/>
    <w:rsid w:val="001D0BCE"/>
    <w:rsid w:val="0020141C"/>
    <w:rsid w:val="002061AD"/>
    <w:rsid w:val="00274F70"/>
    <w:rsid w:val="00277F7C"/>
    <w:rsid w:val="00285773"/>
    <w:rsid w:val="002945D1"/>
    <w:rsid w:val="00294A63"/>
    <w:rsid w:val="00301C42"/>
    <w:rsid w:val="00307577"/>
    <w:rsid w:val="00336E1B"/>
    <w:rsid w:val="00350E19"/>
    <w:rsid w:val="003575A8"/>
    <w:rsid w:val="00384FD4"/>
    <w:rsid w:val="00396E5B"/>
    <w:rsid w:val="003A4A99"/>
    <w:rsid w:val="003C1288"/>
    <w:rsid w:val="003C1FCA"/>
    <w:rsid w:val="003C3F33"/>
    <w:rsid w:val="003C76F7"/>
    <w:rsid w:val="003C796F"/>
    <w:rsid w:val="003D4053"/>
    <w:rsid w:val="00412003"/>
    <w:rsid w:val="004210C8"/>
    <w:rsid w:val="00427D79"/>
    <w:rsid w:val="00435B90"/>
    <w:rsid w:val="004409BC"/>
    <w:rsid w:val="0046634F"/>
    <w:rsid w:val="00466BDE"/>
    <w:rsid w:val="004670F5"/>
    <w:rsid w:val="00475B8B"/>
    <w:rsid w:val="004A6669"/>
    <w:rsid w:val="004B1772"/>
    <w:rsid w:val="004C1D78"/>
    <w:rsid w:val="004D153E"/>
    <w:rsid w:val="004D746C"/>
    <w:rsid w:val="004E062D"/>
    <w:rsid w:val="004E227B"/>
    <w:rsid w:val="004F56C1"/>
    <w:rsid w:val="004F5C42"/>
    <w:rsid w:val="00506D8A"/>
    <w:rsid w:val="00506DF7"/>
    <w:rsid w:val="00514648"/>
    <w:rsid w:val="005220BD"/>
    <w:rsid w:val="00523EED"/>
    <w:rsid w:val="0053609E"/>
    <w:rsid w:val="00536C83"/>
    <w:rsid w:val="00541CE3"/>
    <w:rsid w:val="0054360D"/>
    <w:rsid w:val="0056593B"/>
    <w:rsid w:val="00571F67"/>
    <w:rsid w:val="005911B6"/>
    <w:rsid w:val="005A237A"/>
    <w:rsid w:val="005B1067"/>
    <w:rsid w:val="005D00A9"/>
    <w:rsid w:val="005D387F"/>
    <w:rsid w:val="005E307E"/>
    <w:rsid w:val="005F18A0"/>
    <w:rsid w:val="006137E0"/>
    <w:rsid w:val="00677372"/>
    <w:rsid w:val="00677BC1"/>
    <w:rsid w:val="00680410"/>
    <w:rsid w:val="00697FC5"/>
    <w:rsid w:val="006B2AE5"/>
    <w:rsid w:val="006B3C59"/>
    <w:rsid w:val="006B4606"/>
    <w:rsid w:val="006C1BE0"/>
    <w:rsid w:val="006D33BB"/>
    <w:rsid w:val="007013EC"/>
    <w:rsid w:val="00706A4F"/>
    <w:rsid w:val="00707328"/>
    <w:rsid w:val="0071021B"/>
    <w:rsid w:val="007244D2"/>
    <w:rsid w:val="00743A47"/>
    <w:rsid w:val="00756C16"/>
    <w:rsid w:val="007614DC"/>
    <w:rsid w:val="0076217A"/>
    <w:rsid w:val="00771013"/>
    <w:rsid w:val="0077198F"/>
    <w:rsid w:val="00775F3F"/>
    <w:rsid w:val="00796BB4"/>
    <w:rsid w:val="007A1ACF"/>
    <w:rsid w:val="007C711C"/>
    <w:rsid w:val="007D0708"/>
    <w:rsid w:val="007E3414"/>
    <w:rsid w:val="00802AA8"/>
    <w:rsid w:val="00805F0F"/>
    <w:rsid w:val="008109F6"/>
    <w:rsid w:val="008263F6"/>
    <w:rsid w:val="00865436"/>
    <w:rsid w:val="00870B88"/>
    <w:rsid w:val="00876CEB"/>
    <w:rsid w:val="00891695"/>
    <w:rsid w:val="00891978"/>
    <w:rsid w:val="008A27E0"/>
    <w:rsid w:val="008B4E62"/>
    <w:rsid w:val="008C3E4C"/>
    <w:rsid w:val="008C7745"/>
    <w:rsid w:val="008E0C01"/>
    <w:rsid w:val="008F0F7C"/>
    <w:rsid w:val="00903D13"/>
    <w:rsid w:val="0090520B"/>
    <w:rsid w:val="00930E9C"/>
    <w:rsid w:val="00936607"/>
    <w:rsid w:val="00942CD0"/>
    <w:rsid w:val="00965E6F"/>
    <w:rsid w:val="009705CD"/>
    <w:rsid w:val="00977D6E"/>
    <w:rsid w:val="009A23D5"/>
    <w:rsid w:val="009C5391"/>
    <w:rsid w:val="009C76D9"/>
    <w:rsid w:val="009D2685"/>
    <w:rsid w:val="00A00C48"/>
    <w:rsid w:val="00A0679E"/>
    <w:rsid w:val="00A315C8"/>
    <w:rsid w:val="00A33155"/>
    <w:rsid w:val="00A4279E"/>
    <w:rsid w:val="00A519C6"/>
    <w:rsid w:val="00A70381"/>
    <w:rsid w:val="00A70FC4"/>
    <w:rsid w:val="00AA2995"/>
    <w:rsid w:val="00AB27ED"/>
    <w:rsid w:val="00AB479B"/>
    <w:rsid w:val="00AD4374"/>
    <w:rsid w:val="00B110C2"/>
    <w:rsid w:val="00B24B9C"/>
    <w:rsid w:val="00B3529E"/>
    <w:rsid w:val="00B366B7"/>
    <w:rsid w:val="00B3674A"/>
    <w:rsid w:val="00B437E6"/>
    <w:rsid w:val="00B91504"/>
    <w:rsid w:val="00B93467"/>
    <w:rsid w:val="00BD0A22"/>
    <w:rsid w:val="00BE7089"/>
    <w:rsid w:val="00C00625"/>
    <w:rsid w:val="00C00772"/>
    <w:rsid w:val="00C3697A"/>
    <w:rsid w:val="00C43A16"/>
    <w:rsid w:val="00C46475"/>
    <w:rsid w:val="00C54EA6"/>
    <w:rsid w:val="00C860E8"/>
    <w:rsid w:val="00CB3E4F"/>
    <w:rsid w:val="00CE0F8F"/>
    <w:rsid w:val="00CF03F0"/>
    <w:rsid w:val="00D03050"/>
    <w:rsid w:val="00D16863"/>
    <w:rsid w:val="00D3363D"/>
    <w:rsid w:val="00D44FF1"/>
    <w:rsid w:val="00D6230B"/>
    <w:rsid w:val="00DC1891"/>
    <w:rsid w:val="00DC3FEC"/>
    <w:rsid w:val="00DE0340"/>
    <w:rsid w:val="00DE49B1"/>
    <w:rsid w:val="00DF4037"/>
    <w:rsid w:val="00E01820"/>
    <w:rsid w:val="00E128B0"/>
    <w:rsid w:val="00E13134"/>
    <w:rsid w:val="00E222E2"/>
    <w:rsid w:val="00E23521"/>
    <w:rsid w:val="00E27C61"/>
    <w:rsid w:val="00E458B4"/>
    <w:rsid w:val="00E5269A"/>
    <w:rsid w:val="00E530F8"/>
    <w:rsid w:val="00E57BA2"/>
    <w:rsid w:val="00E617BF"/>
    <w:rsid w:val="00E6717F"/>
    <w:rsid w:val="00E711B1"/>
    <w:rsid w:val="00E812C5"/>
    <w:rsid w:val="00E825B7"/>
    <w:rsid w:val="00EA6ED7"/>
    <w:rsid w:val="00EB522F"/>
    <w:rsid w:val="00EC27CB"/>
    <w:rsid w:val="00EC2C18"/>
    <w:rsid w:val="00ED09AB"/>
    <w:rsid w:val="00ED2E64"/>
    <w:rsid w:val="00EE42CB"/>
    <w:rsid w:val="00EE7F19"/>
    <w:rsid w:val="00EF6790"/>
    <w:rsid w:val="00F1252E"/>
    <w:rsid w:val="00F2481D"/>
    <w:rsid w:val="00F30FAB"/>
    <w:rsid w:val="00F34026"/>
    <w:rsid w:val="00F468D1"/>
    <w:rsid w:val="00F561DF"/>
    <w:rsid w:val="00F568CE"/>
    <w:rsid w:val="00F6193C"/>
    <w:rsid w:val="00F61D7B"/>
    <w:rsid w:val="00F623E0"/>
    <w:rsid w:val="00F7357C"/>
    <w:rsid w:val="00F80357"/>
    <w:rsid w:val="00F846B8"/>
    <w:rsid w:val="00FA7203"/>
    <w:rsid w:val="00FC6BD5"/>
    <w:rsid w:val="00FF0548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0457-3A52-46D8-B394-07D8479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B8"/>
  </w:style>
  <w:style w:type="paragraph" w:styleId="1">
    <w:name w:val="heading 1"/>
    <w:basedOn w:val="a"/>
    <w:next w:val="a"/>
    <w:link w:val="10"/>
    <w:qFormat/>
    <w:rsid w:val="00C007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07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07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007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7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0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07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00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C00772"/>
  </w:style>
  <w:style w:type="paragraph" w:customStyle="1" w:styleId="12">
    <w:name w:val="Обычный1"/>
    <w:rsid w:val="00C00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C007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0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C007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00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C00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07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C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00772"/>
    <w:rPr>
      <w:color w:val="0000FF"/>
      <w:u w:val="single"/>
    </w:rPr>
  </w:style>
  <w:style w:type="character" w:styleId="ab">
    <w:name w:val="FollowedHyperlink"/>
    <w:uiPriority w:val="99"/>
    <w:rsid w:val="00C00772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007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d">
    <w:name w:val="footnote text"/>
    <w:basedOn w:val="a"/>
    <w:link w:val="ae"/>
    <w:uiPriority w:val="99"/>
    <w:unhideWhenUsed/>
    <w:rsid w:val="00C00772"/>
    <w:pPr>
      <w:spacing w:after="0" w:line="240" w:lineRule="auto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00772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00772"/>
    <w:rPr>
      <w:vertAlign w:val="superscript"/>
    </w:rPr>
  </w:style>
  <w:style w:type="character" w:customStyle="1" w:styleId="b-serp-urlitem1">
    <w:name w:val="b-serp-url__item1"/>
    <w:rsid w:val="00C00772"/>
    <w:rPr>
      <w:vanish w:val="0"/>
      <w:webHidden w:val="0"/>
      <w:specVanish w:val="0"/>
    </w:rPr>
  </w:style>
  <w:style w:type="character" w:customStyle="1" w:styleId="b-serp-urlmark1">
    <w:name w:val="b-serp-url__mark1"/>
    <w:rsid w:val="00C00772"/>
    <w:rPr>
      <w:rFonts w:ascii="Verdana" w:hAnsi="Verdana" w:hint="default"/>
    </w:rPr>
  </w:style>
  <w:style w:type="paragraph" w:customStyle="1" w:styleId="ConsPlusCell">
    <w:name w:val="ConsPlusCell"/>
    <w:rsid w:val="00C00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00772"/>
  </w:style>
  <w:style w:type="character" w:styleId="af0">
    <w:name w:val="Strong"/>
    <w:uiPriority w:val="22"/>
    <w:qFormat/>
    <w:rsid w:val="00C00772"/>
    <w:rPr>
      <w:b/>
      <w:bCs/>
    </w:rPr>
  </w:style>
  <w:style w:type="character" w:customStyle="1" w:styleId="apple-converted-space">
    <w:name w:val="apple-converted-space"/>
    <w:rsid w:val="00C00772"/>
  </w:style>
  <w:style w:type="character" w:styleId="af1">
    <w:name w:val="Emphasis"/>
    <w:uiPriority w:val="20"/>
    <w:qFormat/>
    <w:rsid w:val="00C00772"/>
    <w:rPr>
      <w:i/>
      <w:iCs/>
    </w:rPr>
  </w:style>
  <w:style w:type="paragraph" w:styleId="af2">
    <w:name w:val="List Paragraph"/>
    <w:basedOn w:val="a"/>
    <w:uiPriority w:val="34"/>
    <w:qFormat/>
    <w:rsid w:val="00C00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C007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C00772"/>
    <w:rPr>
      <w:rFonts w:ascii="Calibri" w:eastAsia="Calibri" w:hAnsi="Calibri" w:cs="Times New Roman"/>
      <w:lang w:val="x-none"/>
    </w:rPr>
  </w:style>
  <w:style w:type="table" w:customStyle="1" w:styleId="13">
    <w:name w:val="Сетка таблицы1"/>
    <w:basedOn w:val="a1"/>
    <w:next w:val="a9"/>
    <w:uiPriority w:val="59"/>
    <w:rsid w:val="00C00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007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161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6B9C-2696-4AA7-A3BB-A9500D33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Слотюк Наталья Владимировна</dc:creator>
  <cp:lastModifiedBy>Admin</cp:lastModifiedBy>
  <cp:revision>2</cp:revision>
  <cp:lastPrinted>2021-04-09T11:40:00Z</cp:lastPrinted>
  <dcterms:created xsi:type="dcterms:W3CDTF">2022-01-26T06:22:00Z</dcterms:created>
  <dcterms:modified xsi:type="dcterms:W3CDTF">2022-01-26T06:22:00Z</dcterms:modified>
</cp:coreProperties>
</file>